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61" w:rsidRDefault="00C62061" w:rsidP="00201DD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D5C99">
        <w:rPr>
          <w:rFonts w:ascii="Times New Roman" w:hAnsi="Times New Roman"/>
          <w:b/>
          <w:sz w:val="28"/>
          <w:szCs w:val="28"/>
        </w:rPr>
        <w:t>Аннота</w:t>
      </w:r>
      <w:r>
        <w:rPr>
          <w:rFonts w:ascii="Times New Roman" w:hAnsi="Times New Roman"/>
          <w:b/>
          <w:sz w:val="28"/>
          <w:szCs w:val="28"/>
        </w:rPr>
        <w:t>ция к рабочей программе по английскому языку  для детей с ЗПР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 xml:space="preserve">Программа </w:t>
      </w:r>
      <w:r>
        <w:rPr>
          <w:rFonts w:ascii="Times New Roman" w:hAnsi="Times New Roman"/>
          <w:color w:val="000000"/>
          <w:sz w:val="28"/>
        </w:rPr>
        <w:t xml:space="preserve">по  </w:t>
      </w:r>
      <w:r w:rsidRPr="00651D1C">
        <w:rPr>
          <w:rFonts w:ascii="Times New Roman" w:hAnsi="Times New Roman"/>
          <w:color w:val="000000"/>
          <w:sz w:val="28"/>
        </w:rPr>
        <w:t>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Программа по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51D1C">
        <w:rPr>
          <w:rFonts w:ascii="Times New Roman" w:hAnsi="Times New Roman"/>
          <w:color w:val="000000"/>
          <w:sz w:val="28"/>
        </w:rPr>
        <w:t xml:space="preserve"> иностранному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 w:rsidRPr="00EF4810"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651D1C">
        <w:rPr>
          <w:rFonts w:ascii="Times New Roman" w:hAnsi="Times New Roman"/>
          <w:color w:val="000000"/>
          <w:sz w:val="28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651D1C">
        <w:rPr>
          <w:rFonts w:ascii="Times New Roman" w:hAnsi="Times New Roman"/>
          <w:color w:val="000000"/>
          <w:sz w:val="28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свою страну, её культуру в условиях межкультурного общения;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C62061" w:rsidRPr="00651D1C" w:rsidRDefault="00C62061" w:rsidP="00201DD7">
      <w:pPr>
        <w:spacing w:after="0" w:line="264" w:lineRule="auto"/>
        <w:ind w:firstLine="600"/>
        <w:jc w:val="both"/>
      </w:pPr>
      <w:r w:rsidRPr="00651D1C">
        <w:rPr>
          <w:rFonts w:ascii="Times New Roman" w:hAnsi="Times New Roman"/>
          <w:color w:val="000000"/>
          <w:sz w:val="28"/>
        </w:rPr>
        <w:t>‌</w:t>
      </w:r>
      <w:bookmarkStart w:id="1" w:name="6aa83e48-2cda-48be-be58-b7f32ebffe8c"/>
      <w:bookmarkEnd w:id="1"/>
      <w:r w:rsidRPr="00651D1C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неделю).‌</w:t>
      </w:r>
    </w:p>
    <w:p w:rsidR="00C62061" w:rsidRPr="00C41DDC" w:rsidRDefault="00C62061" w:rsidP="00DD5C99">
      <w:pPr>
        <w:spacing w:after="0" w:line="264" w:lineRule="auto"/>
        <w:ind w:firstLine="600"/>
        <w:jc w:val="both"/>
      </w:pPr>
    </w:p>
    <w:sectPr w:rsidR="00C62061" w:rsidRPr="00C41DDC" w:rsidSect="0028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56FBE"/>
    <w:multiLevelType w:val="multilevel"/>
    <w:tmpl w:val="2AB01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C99"/>
    <w:rsid w:val="00130656"/>
    <w:rsid w:val="00201DD7"/>
    <w:rsid w:val="0028008B"/>
    <w:rsid w:val="002849DE"/>
    <w:rsid w:val="002B57C7"/>
    <w:rsid w:val="004A0B91"/>
    <w:rsid w:val="005B6358"/>
    <w:rsid w:val="005D0F60"/>
    <w:rsid w:val="005F7354"/>
    <w:rsid w:val="00651D1C"/>
    <w:rsid w:val="006533C4"/>
    <w:rsid w:val="007B05F7"/>
    <w:rsid w:val="00C41DDC"/>
    <w:rsid w:val="00C450DB"/>
    <w:rsid w:val="00C62061"/>
    <w:rsid w:val="00C63B57"/>
    <w:rsid w:val="00DD5C99"/>
    <w:rsid w:val="00EF4810"/>
    <w:rsid w:val="00F5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9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760</Words>
  <Characters>4338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химии для детей с ЗПР</dc:title>
  <dc:subject/>
  <dc:creator>ЕдемскаяТА</dc:creator>
  <cp:keywords/>
  <dc:description/>
  <cp:lastModifiedBy>Admin</cp:lastModifiedBy>
  <cp:revision>2</cp:revision>
  <dcterms:created xsi:type="dcterms:W3CDTF">2023-09-16T04:58:00Z</dcterms:created>
  <dcterms:modified xsi:type="dcterms:W3CDTF">2023-09-16T04:58:00Z</dcterms:modified>
</cp:coreProperties>
</file>